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142A" w:rsidRPr="00CA142A" w:rsidRDefault="00CA142A" w:rsidP="00B15A21">
      <w:pPr>
        <w:shd w:val="clear" w:color="auto" w:fill="FFFFFF"/>
        <w:spacing w:after="525" w:line="240" w:lineRule="auto"/>
        <w:jc w:val="center"/>
        <w:outlineLvl w:val="0"/>
        <w:rPr>
          <w:rFonts w:ascii="Verdana" w:eastAsia="Times New Roman" w:hAnsi="Verdana" w:cs="Times New Roman"/>
          <w:b/>
          <w:bCs/>
          <w:kern w:val="36"/>
          <w:sz w:val="34"/>
          <w:szCs w:val="34"/>
          <w:lang w:eastAsia="ru-RU"/>
        </w:rPr>
      </w:pPr>
      <w:bookmarkStart w:id="0" w:name="_GoBack"/>
      <w:bookmarkEnd w:id="0"/>
      <w:r w:rsidRPr="00CA142A">
        <w:rPr>
          <w:rFonts w:ascii="Verdana" w:eastAsia="Times New Roman" w:hAnsi="Verdana" w:cs="Times New Roman"/>
          <w:b/>
          <w:bCs/>
          <w:kern w:val="36"/>
          <w:sz w:val="34"/>
          <w:szCs w:val="34"/>
          <w:lang w:eastAsia="ru-RU"/>
        </w:rPr>
        <w:t>ПАМЯТКА для потребителей по вопросам качества и безопасности канцелярских товаров и школьных принадлежностей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B15A21"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 wp14:anchorId="40B2B984" wp14:editId="2383D658">
            <wp:simplePos x="0" y="0"/>
            <wp:positionH relativeFrom="column">
              <wp:posOffset>-3810</wp:posOffset>
            </wp:positionH>
            <wp:positionV relativeFrom="paragraph">
              <wp:posOffset>138430</wp:posOffset>
            </wp:positionV>
            <wp:extent cx="2647950" cy="1617980"/>
            <wp:effectExtent l="0" t="0" r="0" b="1270"/>
            <wp:wrapTight wrapText="bothSides">
              <wp:wrapPolygon edited="0">
                <wp:start x="0" y="0"/>
                <wp:lineTo x="0" y="21363"/>
                <wp:lineTo x="21445" y="21363"/>
                <wp:lineTo x="21445" y="0"/>
                <wp:lineTo x="0" y="0"/>
              </wp:wrapPolygon>
            </wp:wrapTight>
            <wp:docPr id="5" name="Рисунок 5" descr="http://89.rospotrebnadzor.ru/s/89/storage/21,08,2018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89.rospotrebnadzor.ru/s/89/storage/21,08,2018-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61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Во время учебы в школе ребенку требуется огромное количество канцелярских и обучающих принадлежностей, начиная с карандаша и ручки, заканчивая альбомами и тетрадями. Требования  к качеству и безопасности канцелярских товаров и школьных принадлежностей (ручки, маркеры, линейки, карандаши, резинки канцелярские, тетради, дневники, кисти и другие аналогичные изделия, заявленные изготовителем как предназначенные для детей и подростков) регламентируются: Законом  Российской Федерации от 07.02.1992 № 2300-1 «О защите прав потребителей»; Федеральным  законом  от 30 марта 1999 года № 52-ФЗ «О санитарно-эпидемиологическом благополучии населения»; Техническим регламентом Таможенного союза «О безопасности продукции, предназначенной для детей и подростков» (</w:t>
      </w:r>
      <w:proofErr w:type="gramStart"/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ТР</w:t>
      </w:r>
      <w:proofErr w:type="gramEnd"/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ТС 007/2011); СанПиН 2.4.7.1166-02 «Гигиена детей и подростков. Гигиенические требования к изданиям учебным для общего и начального профессионального образования»; СанПиН 2.4.7./1.1.1286-03 «Гигиенические требования к одежде для детей, подростков и взрослых, товарам детского ассортимента и материалам для изделий (изделиям), контактирующим с кожей человека».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Вышеперечисленные нормативные документы регламентируют требования к химической и биологической безопасности продукции, требования к маркировке.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Требования к маркировке</w:t>
      </w: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. Маркировка продукции должна быть достоверной, проверяемой, читаемой и доступной для осмотра и идентификации. Маркировку продукции наносят на изделие, этикетку, прикрепляемую к изделию, или товарный ярлык, упаковку изделия, упаковку группы изделий или листок-вкладыш к продукции.</w:t>
      </w:r>
    </w:p>
    <w:p w:rsidR="00CA142A" w:rsidRPr="00B15A21" w:rsidRDefault="00CA142A" w:rsidP="00CA142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br/>
      </w:r>
      <w:r w:rsidRPr="00B15A21"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inline distT="0" distB="0" distL="0" distR="0" wp14:anchorId="75A3251F" wp14:editId="0ED404A2">
            <wp:extent cx="2676525" cy="1524000"/>
            <wp:effectExtent l="0" t="0" r="9525" b="0"/>
            <wp:docPr id="4" name="Рисунок 4" descr="http://89.rospotrebnadzor.ru/s/89/storage/21,08,2018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89.rospotrebnadzor.ru/s/89/storage/21,08,2018-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142A" w:rsidRPr="00CA142A" w:rsidRDefault="00CA142A" w:rsidP="00CA142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Маркировка продукции должна</w:t>
      </w:r>
    </w:p>
    <w:p w:rsidR="00CA142A" w:rsidRPr="00CA142A" w:rsidRDefault="00CA142A" w:rsidP="00CA142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содержать следующую информацию: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- </w:t>
      </w:r>
      <w:r w:rsidRPr="00CA142A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наименование страны, где изготовлена продукция;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- наименование и местонахождение изготовителя (уполномоченного изготовителем лица), импортера, дистрибьютора;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- наименование и вид (назначение) изделия;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- дата изготовления;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- единый знак обращения на рынке;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- срок службы продукции (при необходимости);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- гарантийный срок службы (при необходимости);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i/>
          <w:iCs/>
          <w:sz w:val="18"/>
          <w:szCs w:val="18"/>
          <w:lang w:eastAsia="ru-RU"/>
        </w:rPr>
        <w:t>- товарный знак (при наличии).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15A21">
        <w:rPr>
          <w:rFonts w:ascii="Verdana" w:eastAsia="Times New Roman" w:hAnsi="Verdana" w:cs="Times New Roman"/>
          <w:b/>
          <w:bCs/>
          <w:noProof/>
          <w:sz w:val="18"/>
          <w:szCs w:val="18"/>
          <w:lang w:eastAsia="ru-RU"/>
        </w:rPr>
        <w:lastRenderedPageBreak/>
        <w:drawing>
          <wp:anchor distT="0" distB="0" distL="114300" distR="114300" simplePos="0" relativeHeight="251659264" behindDoc="1" locked="0" layoutInCell="1" allowOverlap="1" wp14:anchorId="189EC8BE" wp14:editId="1E87E390">
            <wp:simplePos x="0" y="0"/>
            <wp:positionH relativeFrom="column">
              <wp:posOffset>-3810</wp:posOffset>
            </wp:positionH>
            <wp:positionV relativeFrom="paragraph">
              <wp:posOffset>135255</wp:posOffset>
            </wp:positionV>
            <wp:extent cx="1933575" cy="2630805"/>
            <wp:effectExtent l="0" t="0" r="9525" b="0"/>
            <wp:wrapTight wrapText="bothSides">
              <wp:wrapPolygon edited="0">
                <wp:start x="0" y="0"/>
                <wp:lineTo x="0" y="21428"/>
                <wp:lineTo x="21494" y="21428"/>
                <wp:lineTo x="21494" y="0"/>
                <wp:lineTo x="0" y="0"/>
              </wp:wrapPolygon>
            </wp:wrapTight>
            <wp:docPr id="3" name="Рисунок 3" descr="http://89.rospotrebnadzor.ru/s/89/storage/21,08,2018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89.rospotrebnadzor.ru/s/89/storage/21,08,2018-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630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br/>
        <w:t>Важно! </w:t>
      </w: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Продукция маркируется национальным знаком соответствия (знаком обращения на рынке) - </w:t>
      </w: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EAC.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Информация должна быть представлена на русском языке или государственном языке государства-члена Таможенного союза, на территории которого данное изделие производится и реализуется потребителю.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Для импортной продукции допускается наименование страны, где изготовлена продукция, наименование изготовителя и его юридический адрес указывать с использованием латинского алфавита.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Подтверждение соответствия школьно -   письменных              принадлежностей  требованиям действующего</w:t>
      </w:r>
    </w:p>
    <w:p w:rsidR="00CA142A" w:rsidRPr="00CA142A" w:rsidRDefault="00CA142A" w:rsidP="00CA142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br/>
      </w:r>
      <w:r w:rsidRPr="00B15A21"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inline distT="0" distB="0" distL="0" distR="0" wp14:anchorId="64226F65" wp14:editId="1818682F">
            <wp:extent cx="657225" cy="190500"/>
            <wp:effectExtent l="0" t="0" r="9525" b="0"/>
            <wp:docPr id="2" name="Рисунок 2" descr="http://89.rospotrebnadzor.ru/s/89/storage/21,08,2018-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89.rospotrebnadzor.ru/s/89/storage/21,08,2018-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 Технического регламента Таможенного союза "О безопасности продукции, предназначенной для детей и подростков" (</w:t>
      </w:r>
      <w:proofErr w:type="gramStart"/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ТР</w:t>
      </w:r>
      <w:proofErr w:type="gramEnd"/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ТС 007/2011)  проводится  </w:t>
      </w:r>
    </w:p>
    <w:p w:rsidR="00CA142A" w:rsidRPr="00CA142A" w:rsidRDefault="00CA142A" w:rsidP="00CA142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         в  форме декларирования соответствия</w:t>
      </w:r>
    </w:p>
    <w:p w:rsidR="00CA142A" w:rsidRPr="00CA142A" w:rsidRDefault="00CA142A" w:rsidP="00CA142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          (</w:t>
      </w: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декларация о соответствии</w:t>
      </w: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).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Не стесняйтесь спрашивать у продавца документы, подтверждающие качество и безопасность товара: как потребитель Вы имеете на это право.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Внимание!</w:t>
      </w: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 Издательская продукция должна соответствовать требованиям химической безопасности и не должна выделять вредные вещества!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Для изготовления тетрадей школьных и общих, для записи слов, для </w:t>
      </w: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подготовки дошкольников к письму</w:t>
      </w: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, для нот, дневников школьных используется бумага писчая, а также другие виды полиграфической бумаги. </w:t>
      </w:r>
      <w:r w:rsidRPr="00CA142A">
        <w:rPr>
          <w:rFonts w:ascii="Verdana" w:eastAsia="Times New Roman" w:hAnsi="Verdana" w:cs="Times New Roman"/>
          <w:sz w:val="18"/>
          <w:szCs w:val="18"/>
          <w:u w:val="single"/>
          <w:lang w:eastAsia="ru-RU"/>
        </w:rPr>
        <w:t>Применение глянцевой бумаги не допускается.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Для производства альбомов, папок и тетрадей </w:t>
      </w: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для рисования</w:t>
      </w: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 используется бумага рисовальная, а также другие виды полиграфической бумаги с определенной массой бумаги, а для альбомов и папок </w:t>
      </w: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для черчения</w:t>
      </w: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 - бумага чертежная.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Напоминаем</w:t>
      </w: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, что непериодические издания (книги, брошюры, альбомы, картографические и нотные издания, листовые издания, календари, буклеты) входят в </w:t>
      </w:r>
      <w:hyperlink r:id="rId9" w:history="1">
        <w:r w:rsidRPr="00B15A21">
          <w:rPr>
            <w:rFonts w:ascii="Verdana" w:eastAsia="Times New Roman" w:hAnsi="Verdana" w:cs="Times New Roman"/>
            <w:sz w:val="18"/>
            <w:szCs w:val="18"/>
            <w:u w:val="single"/>
            <w:lang w:eastAsia="ru-RU"/>
          </w:rPr>
          <w:t>Перечень непродовольственных товаров надлежащего качества, не подлежащих возврату или обмену на аналогичный товар других размера, формы, габарита, фасона, расцветки или комплектации</w:t>
        </w:r>
      </w:hyperlink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. Данный перечень утвержден постановлением Правительства РФ от 19.01.1998 №55. Поэтому будьте внимательными  при выборе таких товаров! Так как если Вы приобрели не то, что нужно, и этот товар будет надлежащего качества  - вернуть такой товар  в магазин или обменять его у продавца уже не получится.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В соответствии с требованиями Правил продажи </w:t>
      </w:r>
      <w:proofErr w:type="gramStart"/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>отдельных видов товаров, утвержденных постановлением Правительства РФ от 19.01.1998 №55 покупателю должна быть предоставлена</w:t>
      </w:r>
      <w:proofErr w:type="gramEnd"/>
      <w:r w:rsidRPr="00CA142A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возможность беспрепятственного ознакомления с содержанием предлагаемых к продаже непериодических изданий и проверки качества оплаченных товаров.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  Желаем  всем правильного выбора при покупке  товаров!</w:t>
      </w:r>
    </w:p>
    <w:p w:rsidR="00CA142A" w:rsidRPr="00CA142A" w:rsidRDefault="00CA142A" w:rsidP="00CA142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B15A21">
        <w:rPr>
          <w:rFonts w:ascii="Verdana" w:eastAsia="Times New Roman" w:hAnsi="Verdana" w:cs="Times New Roman"/>
          <w:noProof/>
          <w:sz w:val="18"/>
          <w:szCs w:val="18"/>
          <w:lang w:eastAsia="ru-RU"/>
        </w:rPr>
        <w:drawing>
          <wp:anchor distT="0" distB="0" distL="114300" distR="114300" simplePos="0" relativeHeight="251660288" behindDoc="1" locked="0" layoutInCell="1" allowOverlap="1" wp14:anchorId="19247CC7" wp14:editId="27D3925F">
            <wp:simplePos x="0" y="0"/>
            <wp:positionH relativeFrom="column">
              <wp:posOffset>-3810</wp:posOffset>
            </wp:positionH>
            <wp:positionV relativeFrom="paragraph">
              <wp:posOffset>288925</wp:posOffset>
            </wp:positionV>
            <wp:extent cx="2305050" cy="1176020"/>
            <wp:effectExtent l="0" t="0" r="0" b="5080"/>
            <wp:wrapTight wrapText="bothSides">
              <wp:wrapPolygon edited="0">
                <wp:start x="0" y="0"/>
                <wp:lineTo x="0" y="21343"/>
                <wp:lineTo x="21421" y="21343"/>
                <wp:lineTo x="21421" y="0"/>
                <wp:lineTo x="0" y="0"/>
              </wp:wrapPolygon>
            </wp:wrapTight>
            <wp:docPr id="1" name="Рисунок 1" descr="http://89.rospotrebnadzor.ru/s/89/storage/21,08,2018-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89.rospotrebnadzor.ru/s/89/storage/21,08,2018-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176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Надеемся, что наши советы помогут Вам его осуществить.</w:t>
      </w:r>
    </w:p>
    <w:p w:rsidR="00CA142A" w:rsidRPr="00CA142A" w:rsidRDefault="00CA142A" w:rsidP="00CA142A">
      <w:p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>За дополнительной информацией по данной тематике и в случае приобретения товаров ненадлежащего качества  жители  округа  могут обратиться за консультацией</w:t>
      </w:r>
    </w:p>
    <w:p w:rsidR="00CA142A" w:rsidRPr="00CA142A" w:rsidRDefault="00CA142A" w:rsidP="00CA142A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eastAsia="ru-RU"/>
        </w:rPr>
      </w:pP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в </w:t>
      </w:r>
      <w:r w:rsidRPr="00B15A21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ФФБУЗ </w:t>
      </w:r>
      <w:r w:rsidRPr="00B15A21">
        <w:rPr>
          <w:rFonts w:ascii="Times New Roman" w:hAnsi="Times New Roman"/>
          <w:b/>
        </w:rPr>
        <w:t>«ЦГиЭ в ХМАО - Югре  в городе  Нефтеюганске и Нефтеюганском районе и в городе Пыть-Яхе»</w:t>
      </w:r>
    </w:p>
    <w:p w:rsidR="00CA142A" w:rsidRPr="00B15A21" w:rsidRDefault="00CA142A" w:rsidP="00B15A21">
      <w:pPr>
        <w:spacing w:after="0"/>
        <w:ind w:left="-426"/>
        <w:jc w:val="center"/>
        <w:rPr>
          <w:rFonts w:ascii="Times New Roman" w:hAnsi="Times New Roman"/>
          <w:b/>
        </w:rPr>
      </w:pPr>
      <w:r w:rsidRPr="00CA142A">
        <w:rPr>
          <w:rFonts w:ascii="Verdana" w:eastAsia="Times New Roman" w:hAnsi="Verdana" w:cs="Times New Roman"/>
          <w:b/>
          <w:bCs/>
          <w:sz w:val="18"/>
          <w:szCs w:val="18"/>
          <w:lang w:eastAsia="ru-RU"/>
        </w:rPr>
        <w:t xml:space="preserve">Наш адрес г. </w:t>
      </w:r>
      <w:r w:rsidRPr="00B15A21">
        <w:rPr>
          <w:rFonts w:ascii="Times New Roman" w:hAnsi="Times New Roman"/>
          <w:b/>
        </w:rPr>
        <w:t>Нефтеюганск, улица Набережная, строение 12,помещение 3</w:t>
      </w:r>
      <w:r w:rsidR="00B15A21" w:rsidRPr="00B15A21">
        <w:rPr>
          <w:rFonts w:ascii="Times New Roman" w:hAnsi="Times New Roman"/>
          <w:b/>
        </w:rPr>
        <w:t>.</w:t>
      </w:r>
    </w:p>
    <w:p w:rsidR="0070370D" w:rsidRDefault="00CA142A" w:rsidP="00B15A21">
      <w:pPr>
        <w:shd w:val="clear" w:color="auto" w:fill="FFFFFF"/>
        <w:spacing w:after="240" w:line="240" w:lineRule="auto"/>
        <w:jc w:val="center"/>
        <w:rPr>
          <w:rFonts w:ascii="Times New Roman" w:hAnsi="Times New Roman"/>
          <w:b/>
        </w:rPr>
      </w:pPr>
      <w:r w:rsidRPr="00B15A21">
        <w:rPr>
          <w:rFonts w:ascii="Times New Roman" w:hAnsi="Times New Roman"/>
          <w:b/>
        </w:rPr>
        <w:t xml:space="preserve">Контактный номер телефона: 8(3463) 22-63-54, </w:t>
      </w:r>
      <w:r w:rsidR="00B15A21" w:rsidRPr="00B15A21">
        <w:rPr>
          <w:rFonts w:ascii="Times New Roman" w:hAnsi="Times New Roman"/>
          <w:b/>
        </w:rPr>
        <w:t>Приемная телефон/</w:t>
      </w:r>
      <w:r w:rsidRPr="00B15A21">
        <w:rPr>
          <w:rFonts w:ascii="Times New Roman" w:hAnsi="Times New Roman"/>
          <w:b/>
        </w:rPr>
        <w:t>факс</w:t>
      </w:r>
      <w:r w:rsidR="00B15A21" w:rsidRPr="00B15A21">
        <w:rPr>
          <w:rFonts w:ascii="Times New Roman" w:hAnsi="Times New Roman"/>
          <w:b/>
        </w:rPr>
        <w:t>:</w:t>
      </w:r>
      <w:r w:rsidRPr="00B15A21">
        <w:rPr>
          <w:rFonts w:ascii="Times New Roman" w:hAnsi="Times New Roman"/>
          <w:b/>
        </w:rPr>
        <w:t xml:space="preserve"> </w:t>
      </w:r>
      <w:r w:rsidR="00B15A21" w:rsidRPr="00B15A21">
        <w:rPr>
          <w:rFonts w:ascii="Times New Roman" w:hAnsi="Times New Roman"/>
          <w:b/>
        </w:rPr>
        <w:t>8 (3463) 238903 / 22-65-20</w:t>
      </w:r>
    </w:p>
    <w:p w:rsidR="00B15A21" w:rsidRPr="00B15A21" w:rsidRDefault="00B15A21" w:rsidP="00B15A21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b/>
          <w:sz w:val="18"/>
          <w:szCs w:val="18"/>
          <w:lang w:val="en-US" w:eastAsia="ru-RU"/>
        </w:rPr>
      </w:pPr>
      <w:r>
        <w:rPr>
          <w:rFonts w:ascii="Times New Roman" w:hAnsi="Times New Roman"/>
          <w:b/>
          <w:lang w:val="en-US"/>
        </w:rPr>
        <w:t>ff_12@xmao.su</w:t>
      </w:r>
    </w:p>
    <w:sectPr w:rsidR="00B15A21" w:rsidRPr="00B15A21" w:rsidSect="00B15A21">
      <w:pgSz w:w="11906" w:h="16838"/>
      <w:pgMar w:top="284" w:right="424" w:bottom="284" w:left="1701" w:header="709" w:footer="3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142A"/>
    <w:rsid w:val="0070370D"/>
    <w:rsid w:val="007D26DA"/>
    <w:rsid w:val="0095392E"/>
    <w:rsid w:val="00B15A21"/>
    <w:rsid w:val="00CA142A"/>
    <w:rsid w:val="00FE4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1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14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4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A14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A142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A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14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A1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A14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52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://www.potrebitel-russia.ru/?id=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</dc:creator>
  <cp:lastModifiedBy>Камышан Ирина Игоревна</cp:lastModifiedBy>
  <cp:revision>2</cp:revision>
  <dcterms:created xsi:type="dcterms:W3CDTF">2020-08-31T12:48:00Z</dcterms:created>
  <dcterms:modified xsi:type="dcterms:W3CDTF">2020-08-31T12:48:00Z</dcterms:modified>
</cp:coreProperties>
</file>